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9670" w:type="dxa"/>
        <w:tblLayout w:type="fixed"/>
        <w:tblLook w:val="04A0" w:firstRow="1" w:lastRow="0" w:firstColumn="1" w:lastColumn="0" w:noHBand="0" w:noVBand="1"/>
      </w:tblPr>
      <w:tblGrid>
        <w:gridCol w:w="9890"/>
        <w:gridCol w:w="9890"/>
        <w:gridCol w:w="9890"/>
      </w:tblGrid>
      <w:tr w:rsidR="008E0822" w14:paraId="56604C9C" w14:textId="77777777" w:rsidTr="004A311A">
        <w:tc>
          <w:tcPr>
            <w:tcW w:w="9890" w:type="dxa"/>
          </w:tcPr>
          <w:p w14:paraId="3BF23526" w14:textId="5FA855BC" w:rsidR="008E0822" w:rsidRDefault="008E0822">
            <w:pPr>
              <w:tabs>
                <w:tab w:val="left" w:pos="3750"/>
              </w:tabs>
              <w:suppressAutoHyphens/>
              <w:jc w:val="center"/>
            </w:pPr>
            <w:r>
              <w:rPr>
                <w:noProof/>
              </w:rPr>
              <w:drawing>
                <wp:inline distT="0" distB="0" distL="0" distR="0" wp14:anchorId="468A3F1A" wp14:editId="57EDF4EC">
                  <wp:extent cx="64770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EDD8DB" w14:textId="77777777" w:rsidR="008E0822" w:rsidRDefault="008E0822">
            <w:pPr>
              <w:suppressAutoHyphens/>
              <w:jc w:val="center"/>
            </w:pPr>
          </w:p>
          <w:p w14:paraId="20A53289" w14:textId="77777777" w:rsidR="008E0822" w:rsidRDefault="008E0822">
            <w:pPr>
              <w:suppressAutoHyphens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КОНТРОЛЬНО-СЧЕТНАЯ ПАЛАТА</w:t>
            </w:r>
          </w:p>
          <w:p w14:paraId="7C907799" w14:textId="77777777" w:rsidR="008E0822" w:rsidRDefault="008E0822">
            <w:pPr>
              <w:suppressAutoHyphens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ЗЛАТОУСТОВСКОГО ГОРОДСКОГО ОКРУГА</w:t>
            </w:r>
          </w:p>
          <w:p w14:paraId="4D4933E0" w14:textId="77777777" w:rsidR="008E0822" w:rsidRDefault="008E0822">
            <w:pPr>
              <w:suppressAutoHyphens/>
              <w:jc w:val="center"/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EF0F33" wp14:editId="14270F44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93345</wp:posOffset>
                      </wp:positionV>
                      <wp:extent cx="6286500" cy="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97A9F52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      </w:pict>
                </mc:Fallback>
              </mc:AlternateContent>
            </w:r>
          </w:p>
          <w:p w14:paraId="0C57E5A1" w14:textId="77777777" w:rsidR="008E0822" w:rsidRPr="004A311A" w:rsidRDefault="008E0822" w:rsidP="008E0822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890" w:type="dxa"/>
          </w:tcPr>
          <w:p w14:paraId="23110F62" w14:textId="77777777" w:rsidR="008E0822" w:rsidRDefault="008E0822">
            <w:pPr>
              <w:suppressAutoHyphens/>
              <w:jc w:val="center"/>
            </w:pPr>
          </w:p>
        </w:tc>
        <w:tc>
          <w:tcPr>
            <w:tcW w:w="9890" w:type="dxa"/>
          </w:tcPr>
          <w:p w14:paraId="6087D76D" w14:textId="77777777" w:rsidR="008E0822" w:rsidRDefault="008E0822">
            <w:pPr>
              <w:suppressAutoHyphens/>
              <w:jc w:val="center"/>
            </w:pPr>
          </w:p>
        </w:tc>
      </w:tr>
    </w:tbl>
    <w:p w14:paraId="4767D89C" w14:textId="77777777" w:rsidR="008E0822" w:rsidRDefault="008E0822" w:rsidP="008E0822">
      <w:pPr>
        <w:suppressAutoHyphens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14:paraId="75EDADA3" w14:textId="77777777" w:rsidR="008E0822" w:rsidRDefault="008E0822" w:rsidP="008E082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по результатам проведения экспертно-аналитического мероприятия </w:t>
      </w:r>
    </w:p>
    <w:p w14:paraId="46E392D9" w14:textId="08F766EE" w:rsidR="005C5FB4" w:rsidRDefault="008E0822" w:rsidP="00D208AA">
      <w:pPr>
        <w:jc w:val="center"/>
        <w:rPr>
          <w:rFonts w:cstheme="minorBidi"/>
          <w:b/>
          <w:sz w:val="28"/>
          <w:szCs w:val="28"/>
        </w:rPr>
      </w:pPr>
      <w:r>
        <w:rPr>
          <w:b/>
          <w:bCs/>
          <w:sz w:val="28"/>
          <w:szCs w:val="28"/>
        </w:rPr>
        <w:t>«М</w:t>
      </w:r>
      <w:r>
        <w:rPr>
          <w:b/>
          <w:sz w:val="28"/>
          <w:szCs w:val="28"/>
        </w:rPr>
        <w:t xml:space="preserve">ониторинга исполнения региональных проектов за 1 квартал </w:t>
      </w:r>
      <w:proofErr w:type="spellStart"/>
      <w:r>
        <w:rPr>
          <w:b/>
          <w:sz w:val="28"/>
          <w:szCs w:val="28"/>
        </w:rPr>
        <w:t>202</w:t>
      </w:r>
      <w:r w:rsidR="004A311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</w:t>
      </w:r>
      <w:proofErr w:type="spellEnd"/>
      <w:r>
        <w:rPr>
          <w:b/>
          <w:sz w:val="28"/>
          <w:szCs w:val="28"/>
        </w:rPr>
        <w:t>.»</w:t>
      </w:r>
    </w:p>
    <w:p w14:paraId="747889DD" w14:textId="77777777" w:rsidR="00D208AA" w:rsidRPr="00D208AA" w:rsidRDefault="00D208AA" w:rsidP="00D208AA">
      <w:pPr>
        <w:jc w:val="center"/>
        <w:rPr>
          <w:rFonts w:cstheme="minorBidi"/>
          <w:b/>
          <w:sz w:val="28"/>
          <w:szCs w:val="28"/>
        </w:rPr>
      </w:pPr>
    </w:p>
    <w:p w14:paraId="2ECC12EA" w14:textId="77777777" w:rsidR="00D208AA" w:rsidRDefault="00D208AA" w:rsidP="00D208A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Экспертно-аналитическое мероприятие проведено в рамках полномочий органа внешнего муниципального финансового контроля, предусмотренных пунктом 9 части 2 статьи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14:paraId="65FE748C" w14:textId="41104B29" w:rsidR="00D208AA" w:rsidRDefault="00D208AA" w:rsidP="00D208A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мониторинга исполнения региональных проектов                          за 1 квартал 202</w:t>
      </w:r>
      <w:r w:rsidR="004A311A">
        <w:rPr>
          <w:sz w:val="28"/>
          <w:szCs w:val="28"/>
        </w:rPr>
        <w:t>5</w:t>
      </w:r>
      <w:r>
        <w:rPr>
          <w:sz w:val="28"/>
          <w:szCs w:val="28"/>
        </w:rPr>
        <w:t xml:space="preserve"> г. отражены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Pr="009F465B">
        <w:rPr>
          <w:sz w:val="28"/>
          <w:szCs w:val="28"/>
        </w:rPr>
        <w:t>№</w:t>
      </w:r>
      <w:r w:rsidR="004A311A">
        <w:rPr>
          <w:sz w:val="28"/>
          <w:szCs w:val="28"/>
        </w:rPr>
        <w:t>71</w:t>
      </w:r>
      <w:r w:rsidRPr="009F465B">
        <w:rPr>
          <w:sz w:val="28"/>
          <w:szCs w:val="28"/>
        </w:rPr>
        <w:t xml:space="preserve"> от </w:t>
      </w:r>
      <w:proofErr w:type="spellStart"/>
      <w:r w:rsidRPr="009F465B">
        <w:rPr>
          <w:sz w:val="28"/>
          <w:szCs w:val="28"/>
        </w:rPr>
        <w:t>1</w:t>
      </w:r>
      <w:r w:rsidR="004A311A">
        <w:rPr>
          <w:sz w:val="28"/>
          <w:szCs w:val="28"/>
        </w:rPr>
        <w:t>9</w:t>
      </w:r>
      <w:r w:rsidRPr="009F465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9F465B">
        <w:rPr>
          <w:sz w:val="28"/>
          <w:szCs w:val="28"/>
        </w:rPr>
        <w:t>.202</w:t>
      </w:r>
      <w:r w:rsidR="004A311A">
        <w:rPr>
          <w:sz w:val="28"/>
          <w:szCs w:val="28"/>
        </w:rPr>
        <w:t>5</w:t>
      </w:r>
      <w:r>
        <w:rPr>
          <w:sz w:val="28"/>
          <w:szCs w:val="28"/>
        </w:rPr>
        <w:t>г</w:t>
      </w:r>
      <w:proofErr w:type="spellEnd"/>
      <w:r w:rsidRPr="009F465B">
        <w:rPr>
          <w:sz w:val="28"/>
          <w:szCs w:val="28"/>
        </w:rPr>
        <w:t>.</w:t>
      </w:r>
    </w:p>
    <w:p w14:paraId="0383D0A1" w14:textId="0667E62C" w:rsidR="004A311A" w:rsidRDefault="00E844A8" w:rsidP="004A311A">
      <w:pPr>
        <w:ind w:left="212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0" wp14:anchorId="594B63A8" wp14:editId="1C1F90B7">
            <wp:simplePos x="0" y="0"/>
            <wp:positionH relativeFrom="column">
              <wp:posOffset>80452</wp:posOffset>
            </wp:positionH>
            <wp:positionV relativeFrom="paragraph">
              <wp:posOffset>55328</wp:posOffset>
            </wp:positionV>
            <wp:extent cx="1216025" cy="866140"/>
            <wp:effectExtent l="0" t="0" r="3175" b="10160"/>
            <wp:wrapThrough wrapText="bothSides">
              <wp:wrapPolygon edited="0">
                <wp:start x="0" y="0"/>
                <wp:lineTo x="0" y="21378"/>
                <wp:lineTo x="21318" y="21378"/>
                <wp:lineTo x="21318" y="0"/>
                <wp:lineTo x="0" y="0"/>
              </wp:wrapPolygon>
            </wp:wrapThrough>
            <wp:docPr id="18538223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8AA" w:rsidRPr="00356FC1">
        <w:rPr>
          <w:sz w:val="28"/>
          <w:szCs w:val="28"/>
        </w:rPr>
        <w:t xml:space="preserve">1. </w:t>
      </w:r>
      <w:r w:rsidR="004A311A">
        <w:rPr>
          <w:sz w:val="28"/>
          <w:szCs w:val="28"/>
        </w:rPr>
        <w:t>В 2025 году в Златоустовском городском округе запланирована реализация 9 (девяти) региональных проектов Челябинской области</w:t>
      </w:r>
      <w:r w:rsidR="004A311A" w:rsidRPr="00627800">
        <w:rPr>
          <w:rFonts w:eastAsia="Calibri"/>
          <w:sz w:val="28"/>
          <w:szCs w:val="28"/>
          <w:lang w:eastAsia="en-US"/>
        </w:rPr>
        <w:t xml:space="preserve"> </w:t>
      </w:r>
      <w:r w:rsidR="004A311A" w:rsidRPr="00627800">
        <w:rPr>
          <w:sz w:val="28"/>
          <w:szCs w:val="28"/>
        </w:rPr>
        <w:t xml:space="preserve">в </w:t>
      </w:r>
      <w:r w:rsidR="004A311A">
        <w:rPr>
          <w:sz w:val="28"/>
          <w:szCs w:val="28"/>
        </w:rPr>
        <w:t>составе</w:t>
      </w:r>
      <w:r w:rsidR="004A311A" w:rsidRPr="00627800">
        <w:rPr>
          <w:sz w:val="28"/>
          <w:szCs w:val="28"/>
        </w:rPr>
        <w:t xml:space="preserve"> </w:t>
      </w:r>
      <w:r w:rsidR="004A311A">
        <w:rPr>
          <w:sz w:val="28"/>
          <w:szCs w:val="28"/>
        </w:rPr>
        <w:t xml:space="preserve">четырех </w:t>
      </w:r>
      <w:r w:rsidR="004A311A" w:rsidRPr="00627800">
        <w:rPr>
          <w:sz w:val="28"/>
          <w:szCs w:val="28"/>
        </w:rPr>
        <w:t>национальных проектов</w:t>
      </w:r>
      <w:r w:rsidR="004A311A">
        <w:rPr>
          <w:sz w:val="28"/>
          <w:szCs w:val="28"/>
        </w:rPr>
        <w:t xml:space="preserve">. </w:t>
      </w:r>
    </w:p>
    <w:p w14:paraId="55F53A4E" w14:textId="77777777" w:rsidR="004A311A" w:rsidRDefault="004A311A" w:rsidP="004A311A">
      <w:pPr>
        <w:ind w:firstLine="709"/>
        <w:jc w:val="both"/>
        <w:rPr>
          <w:sz w:val="28"/>
          <w:szCs w:val="28"/>
        </w:rPr>
      </w:pPr>
      <w:r w:rsidRPr="004A311A">
        <w:rPr>
          <w:sz w:val="28"/>
          <w:szCs w:val="28"/>
        </w:rPr>
        <w:t xml:space="preserve">По состоянию на </w:t>
      </w:r>
      <w:proofErr w:type="spellStart"/>
      <w:r w:rsidRPr="004A311A">
        <w:rPr>
          <w:sz w:val="28"/>
          <w:szCs w:val="28"/>
        </w:rPr>
        <w:t>30.03.2025г</w:t>
      </w:r>
      <w:proofErr w:type="spellEnd"/>
      <w:r w:rsidRPr="004A311A">
        <w:rPr>
          <w:sz w:val="28"/>
          <w:szCs w:val="28"/>
        </w:rPr>
        <w:t xml:space="preserve">. на реализацию мероприятий региональных проектов сводной бюджетной росписью округа предусмотрены средства в объеме 324 322,1 тыс. рублей, что составляет 3,9% от общего объема бюджетных ассигнований округа (8 412 358,5 тыс. рублей). </w:t>
      </w:r>
    </w:p>
    <w:p w14:paraId="06592E41" w14:textId="1CF68395" w:rsidR="004A311A" w:rsidRPr="004A311A" w:rsidRDefault="004A311A" w:rsidP="004A311A">
      <w:pPr>
        <w:ind w:firstLine="567"/>
        <w:jc w:val="both"/>
        <w:rPr>
          <w:bCs/>
          <w:sz w:val="28"/>
          <w:szCs w:val="28"/>
        </w:rPr>
      </w:pPr>
      <w:bookmarkStart w:id="0" w:name="_Hlk198311892"/>
      <w:r w:rsidRPr="00A71B58">
        <w:rPr>
          <w:bCs/>
          <w:sz w:val="28"/>
          <w:szCs w:val="28"/>
        </w:rPr>
        <w:t xml:space="preserve">Бюджетные ассигнования распределены между </w:t>
      </w:r>
      <w:r>
        <w:rPr>
          <w:bCs/>
          <w:sz w:val="28"/>
          <w:szCs w:val="28"/>
        </w:rPr>
        <w:t>четырьмя</w:t>
      </w:r>
      <w:r w:rsidRPr="00A71B58">
        <w:rPr>
          <w:bCs/>
          <w:sz w:val="28"/>
          <w:szCs w:val="28"/>
        </w:rPr>
        <w:t xml:space="preserve"> главными распорядителями бюджетных средств и предусмотрены структурными элементами (основными мероприятиями) в рамках </w:t>
      </w:r>
      <w:r>
        <w:rPr>
          <w:bCs/>
          <w:sz w:val="28"/>
          <w:szCs w:val="28"/>
        </w:rPr>
        <w:t>пяти</w:t>
      </w:r>
      <w:r w:rsidRPr="00A71B58">
        <w:rPr>
          <w:bCs/>
          <w:sz w:val="28"/>
          <w:szCs w:val="28"/>
        </w:rPr>
        <w:t xml:space="preserve"> муниципальных программ Златоустовского городского округа.</w:t>
      </w:r>
      <w:bookmarkEnd w:id="0"/>
    </w:p>
    <w:p w14:paraId="6BF71820" w14:textId="3B64D911" w:rsidR="004A311A" w:rsidRDefault="00D208AA" w:rsidP="004A311A">
      <w:pPr>
        <w:ind w:firstLine="567"/>
        <w:jc w:val="right"/>
        <w:rPr>
          <w:rFonts w:eastAsia="Calibri"/>
          <w:bCs/>
          <w:lang w:eastAsia="en-US"/>
        </w:rPr>
      </w:pPr>
      <w:r w:rsidRPr="00D208AA">
        <w:rPr>
          <w:rFonts w:eastAsia="Calibri"/>
          <w:bCs/>
          <w:lang w:eastAsia="en-US"/>
        </w:rPr>
        <w:t>Ед. измерения: тыс. рублей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4821"/>
        <w:gridCol w:w="1843"/>
        <w:gridCol w:w="1274"/>
      </w:tblGrid>
      <w:tr w:rsidR="004A311A" w:rsidRPr="00C631BB" w14:paraId="059138EA" w14:textId="77777777" w:rsidTr="00C06BEE">
        <w:trPr>
          <w:trHeight w:val="834"/>
          <w:tblHeader/>
        </w:trPr>
        <w:tc>
          <w:tcPr>
            <w:tcW w:w="882" w:type="pct"/>
            <w:shd w:val="clear" w:color="auto" w:fill="auto"/>
            <w:vAlign w:val="center"/>
          </w:tcPr>
          <w:p w14:paraId="405FFA0D" w14:textId="77777777" w:rsidR="004A311A" w:rsidRPr="00C631BB" w:rsidRDefault="004A311A" w:rsidP="00D554AE">
            <w:pPr>
              <w:ind w:firstLine="37"/>
              <w:jc w:val="center"/>
            </w:pPr>
            <w:r w:rsidRPr="00C631BB">
              <w:t>Национальный проект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3D08AC0D" w14:textId="77777777" w:rsidR="004A311A" w:rsidRPr="00C631BB" w:rsidRDefault="004A311A" w:rsidP="00D554AE">
            <w:pPr>
              <w:ind w:firstLine="37"/>
              <w:jc w:val="center"/>
            </w:pPr>
            <w:r w:rsidRPr="00C631BB">
              <w:t>Региональный проект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10BD34B5" w14:textId="77777777" w:rsidR="004A311A" w:rsidRPr="00C631BB" w:rsidRDefault="004A311A" w:rsidP="00D554AE">
            <w:pPr>
              <w:ind w:firstLine="37"/>
              <w:jc w:val="center"/>
            </w:pPr>
            <w:r w:rsidRPr="00C631BB">
              <w:t>Главный распорядитель бюджетных средств</w:t>
            </w:r>
          </w:p>
        </w:tc>
        <w:tc>
          <w:tcPr>
            <w:tcW w:w="661" w:type="pct"/>
          </w:tcPr>
          <w:p w14:paraId="459BD041" w14:textId="77777777" w:rsidR="004A311A" w:rsidRPr="00C631BB" w:rsidRDefault="004A311A" w:rsidP="00D554AE">
            <w:pPr>
              <w:ind w:firstLine="37"/>
              <w:jc w:val="center"/>
            </w:pPr>
            <w:r w:rsidRPr="00C631BB">
              <w:t xml:space="preserve">План </w:t>
            </w:r>
            <w:proofErr w:type="spellStart"/>
            <w:r w:rsidRPr="00C631BB">
              <w:t>2025г</w:t>
            </w:r>
            <w:proofErr w:type="spellEnd"/>
            <w:r w:rsidRPr="00C631BB">
              <w:t>.</w:t>
            </w:r>
          </w:p>
        </w:tc>
      </w:tr>
      <w:tr w:rsidR="004A311A" w:rsidRPr="00C631BB" w14:paraId="0A7B7075" w14:textId="77777777" w:rsidTr="00E40D32">
        <w:trPr>
          <w:trHeight w:val="70"/>
        </w:trPr>
        <w:tc>
          <w:tcPr>
            <w:tcW w:w="882" w:type="pct"/>
            <w:vMerge w:val="restart"/>
            <w:shd w:val="clear" w:color="auto" w:fill="auto"/>
            <w:vAlign w:val="center"/>
          </w:tcPr>
          <w:p w14:paraId="2F4120AE" w14:textId="77777777" w:rsidR="004A311A" w:rsidRPr="00C631BB" w:rsidRDefault="004A311A" w:rsidP="00D554AE">
            <w:pPr>
              <w:ind w:firstLine="37"/>
            </w:pPr>
            <w:r w:rsidRPr="00C631BB">
              <w:t>Молодежь и дети России</w:t>
            </w:r>
          </w:p>
          <w:p w14:paraId="708F8B79" w14:textId="77777777" w:rsidR="004A311A" w:rsidRPr="00C631BB" w:rsidRDefault="004A311A" w:rsidP="00D554AE">
            <w:pPr>
              <w:ind w:firstLine="37"/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4DE6A01C" w14:textId="77777777" w:rsidR="004A311A" w:rsidRPr="00C631BB" w:rsidRDefault="004A311A" w:rsidP="00D554AE">
            <w:pPr>
              <w:ind w:firstLine="37"/>
            </w:pPr>
            <w:r w:rsidRPr="00C631BB">
              <w:t>«Все лучшее детям»</w:t>
            </w:r>
          </w:p>
        </w:tc>
        <w:tc>
          <w:tcPr>
            <w:tcW w:w="956" w:type="pct"/>
            <w:vMerge w:val="restart"/>
            <w:shd w:val="clear" w:color="auto" w:fill="auto"/>
            <w:vAlign w:val="center"/>
          </w:tcPr>
          <w:p w14:paraId="23993574" w14:textId="77777777" w:rsidR="004A311A" w:rsidRPr="00C631BB" w:rsidRDefault="004A311A" w:rsidP="00D554AE">
            <w:pPr>
              <w:ind w:firstLine="37"/>
              <w:jc w:val="center"/>
            </w:pPr>
            <w:bookmarkStart w:id="1" w:name="_Hlk197334209"/>
            <w:r w:rsidRPr="00C631BB">
              <w:t xml:space="preserve">Управление образования и молодежной политики </w:t>
            </w:r>
            <w:proofErr w:type="spellStart"/>
            <w:r w:rsidRPr="00C631BB">
              <w:t>ЗГО</w:t>
            </w:r>
            <w:bookmarkEnd w:id="1"/>
            <w:proofErr w:type="spellEnd"/>
          </w:p>
        </w:tc>
        <w:tc>
          <w:tcPr>
            <w:tcW w:w="661" w:type="pct"/>
            <w:vAlign w:val="center"/>
          </w:tcPr>
          <w:p w14:paraId="47A47077" w14:textId="77777777" w:rsidR="004A311A" w:rsidRPr="00C631BB" w:rsidRDefault="004A311A" w:rsidP="00D554AE">
            <w:pPr>
              <w:ind w:firstLine="37"/>
              <w:jc w:val="center"/>
            </w:pPr>
            <w:r w:rsidRPr="00C631BB">
              <w:t>2 257,1</w:t>
            </w:r>
          </w:p>
        </w:tc>
      </w:tr>
      <w:tr w:rsidR="004A311A" w:rsidRPr="00C631BB" w14:paraId="784CD2F6" w14:textId="77777777" w:rsidTr="00E40D32">
        <w:trPr>
          <w:trHeight w:val="91"/>
        </w:trPr>
        <w:tc>
          <w:tcPr>
            <w:tcW w:w="882" w:type="pct"/>
            <w:vMerge/>
            <w:shd w:val="clear" w:color="auto" w:fill="auto"/>
            <w:vAlign w:val="center"/>
          </w:tcPr>
          <w:p w14:paraId="3C95E935" w14:textId="77777777" w:rsidR="004A311A" w:rsidRPr="00C631BB" w:rsidRDefault="004A311A" w:rsidP="00D554AE">
            <w:pPr>
              <w:ind w:firstLine="37"/>
            </w:pPr>
          </w:p>
        </w:tc>
        <w:tc>
          <w:tcPr>
            <w:tcW w:w="2501" w:type="pct"/>
            <w:shd w:val="clear" w:color="auto" w:fill="auto"/>
          </w:tcPr>
          <w:p w14:paraId="5E2072A4" w14:textId="77777777" w:rsidR="004A311A" w:rsidRPr="00C631BB" w:rsidRDefault="004A311A" w:rsidP="00D554AE">
            <w:pPr>
              <w:ind w:firstLine="37"/>
            </w:pPr>
            <w:r w:rsidRPr="00C631BB">
              <w:t>«Педагоги и наставники»</w:t>
            </w:r>
          </w:p>
        </w:tc>
        <w:tc>
          <w:tcPr>
            <w:tcW w:w="956" w:type="pct"/>
            <w:vMerge/>
            <w:shd w:val="clear" w:color="auto" w:fill="auto"/>
            <w:vAlign w:val="center"/>
          </w:tcPr>
          <w:p w14:paraId="1DDAD5FF" w14:textId="77777777" w:rsidR="004A311A" w:rsidRPr="00C631BB" w:rsidRDefault="004A311A" w:rsidP="00D554AE">
            <w:pPr>
              <w:ind w:firstLine="37"/>
              <w:jc w:val="center"/>
            </w:pPr>
          </w:p>
        </w:tc>
        <w:tc>
          <w:tcPr>
            <w:tcW w:w="661" w:type="pct"/>
            <w:vAlign w:val="center"/>
          </w:tcPr>
          <w:p w14:paraId="6F5057FF" w14:textId="77777777" w:rsidR="004A311A" w:rsidRPr="00C631BB" w:rsidRDefault="004A311A" w:rsidP="00D554AE">
            <w:pPr>
              <w:ind w:firstLine="37"/>
              <w:jc w:val="center"/>
            </w:pPr>
            <w:r w:rsidRPr="00C631BB">
              <w:t>79 088,2</w:t>
            </w:r>
          </w:p>
        </w:tc>
      </w:tr>
      <w:tr w:rsidR="004A311A" w:rsidRPr="00C631BB" w14:paraId="2C420796" w14:textId="77777777" w:rsidTr="00E40D32">
        <w:trPr>
          <w:trHeight w:val="166"/>
        </w:trPr>
        <w:tc>
          <w:tcPr>
            <w:tcW w:w="882" w:type="pct"/>
            <w:vMerge/>
            <w:shd w:val="clear" w:color="auto" w:fill="auto"/>
            <w:vAlign w:val="center"/>
          </w:tcPr>
          <w:p w14:paraId="364614FD" w14:textId="77777777" w:rsidR="004A311A" w:rsidRPr="00C631BB" w:rsidRDefault="004A311A" w:rsidP="00D554AE">
            <w:pPr>
              <w:ind w:firstLine="37"/>
            </w:pPr>
          </w:p>
        </w:tc>
        <w:tc>
          <w:tcPr>
            <w:tcW w:w="2501" w:type="pct"/>
            <w:shd w:val="clear" w:color="auto" w:fill="auto"/>
          </w:tcPr>
          <w:p w14:paraId="399FFDDC" w14:textId="77777777" w:rsidR="004A311A" w:rsidRPr="00C631BB" w:rsidRDefault="004A311A" w:rsidP="00D554AE">
            <w:pPr>
              <w:ind w:firstLine="37"/>
            </w:pPr>
            <w:r w:rsidRPr="00C631BB">
              <w:t>«Россия – страна возможностей»</w:t>
            </w:r>
          </w:p>
        </w:tc>
        <w:tc>
          <w:tcPr>
            <w:tcW w:w="956" w:type="pct"/>
            <w:vMerge/>
            <w:shd w:val="clear" w:color="auto" w:fill="auto"/>
            <w:vAlign w:val="center"/>
          </w:tcPr>
          <w:p w14:paraId="49DAB37E" w14:textId="77777777" w:rsidR="004A311A" w:rsidRPr="00C631BB" w:rsidRDefault="004A311A" w:rsidP="00D554AE">
            <w:pPr>
              <w:ind w:firstLine="37"/>
              <w:jc w:val="center"/>
            </w:pPr>
          </w:p>
        </w:tc>
        <w:tc>
          <w:tcPr>
            <w:tcW w:w="661" w:type="pct"/>
            <w:vAlign w:val="center"/>
          </w:tcPr>
          <w:p w14:paraId="6624C90E" w14:textId="77777777" w:rsidR="004A311A" w:rsidRPr="00C631BB" w:rsidRDefault="004A311A" w:rsidP="00D554AE">
            <w:pPr>
              <w:ind w:firstLine="37"/>
              <w:jc w:val="center"/>
            </w:pPr>
            <w:r w:rsidRPr="00C631BB">
              <w:t>2 000,0</w:t>
            </w:r>
          </w:p>
        </w:tc>
      </w:tr>
      <w:tr w:rsidR="004A311A" w:rsidRPr="00C631BB" w14:paraId="70A2DA83" w14:textId="77777777" w:rsidTr="00E40D32">
        <w:trPr>
          <w:trHeight w:val="60"/>
        </w:trPr>
        <w:tc>
          <w:tcPr>
            <w:tcW w:w="882" w:type="pct"/>
            <w:vMerge/>
            <w:shd w:val="clear" w:color="auto" w:fill="auto"/>
            <w:vAlign w:val="center"/>
          </w:tcPr>
          <w:p w14:paraId="7C29D5BD" w14:textId="77777777" w:rsidR="004A311A" w:rsidRPr="00C631BB" w:rsidRDefault="004A311A" w:rsidP="00D554AE">
            <w:pPr>
              <w:ind w:firstLine="37"/>
            </w:pPr>
          </w:p>
        </w:tc>
        <w:tc>
          <w:tcPr>
            <w:tcW w:w="2501" w:type="pct"/>
            <w:shd w:val="clear" w:color="auto" w:fill="auto"/>
          </w:tcPr>
          <w:p w14:paraId="6BF9A21A" w14:textId="77777777" w:rsidR="004A311A" w:rsidRPr="00C631BB" w:rsidRDefault="004A311A" w:rsidP="00D554AE">
            <w:pPr>
              <w:ind w:firstLine="37"/>
            </w:pPr>
            <w:r w:rsidRPr="00C631BB">
              <w:t>«Мы вместе (Воспитание гармонично развитой личности)»</w:t>
            </w:r>
          </w:p>
        </w:tc>
        <w:tc>
          <w:tcPr>
            <w:tcW w:w="956" w:type="pct"/>
            <w:vMerge/>
            <w:shd w:val="clear" w:color="auto" w:fill="auto"/>
            <w:vAlign w:val="center"/>
          </w:tcPr>
          <w:p w14:paraId="62CCB5C1" w14:textId="77777777" w:rsidR="004A311A" w:rsidRPr="00C631BB" w:rsidRDefault="004A311A" w:rsidP="00D554AE">
            <w:pPr>
              <w:ind w:firstLine="37"/>
              <w:jc w:val="center"/>
            </w:pPr>
          </w:p>
        </w:tc>
        <w:tc>
          <w:tcPr>
            <w:tcW w:w="661" w:type="pct"/>
            <w:vAlign w:val="center"/>
          </w:tcPr>
          <w:p w14:paraId="6265A61F" w14:textId="77777777" w:rsidR="004A311A" w:rsidRPr="00C631BB" w:rsidRDefault="004A311A" w:rsidP="00D554AE">
            <w:pPr>
              <w:ind w:firstLine="37"/>
              <w:jc w:val="center"/>
            </w:pPr>
            <w:r w:rsidRPr="00C631BB">
              <w:t>421,0</w:t>
            </w:r>
          </w:p>
        </w:tc>
      </w:tr>
      <w:tr w:rsidR="004A311A" w:rsidRPr="00C631BB" w14:paraId="572C0688" w14:textId="77777777" w:rsidTr="00E40D32">
        <w:trPr>
          <w:trHeight w:val="118"/>
        </w:trPr>
        <w:tc>
          <w:tcPr>
            <w:tcW w:w="882" w:type="pct"/>
            <w:vMerge w:val="restart"/>
            <w:shd w:val="clear" w:color="auto" w:fill="auto"/>
            <w:vAlign w:val="center"/>
          </w:tcPr>
          <w:p w14:paraId="32A5B8F8" w14:textId="77777777" w:rsidR="004A311A" w:rsidRPr="00C631BB" w:rsidRDefault="004A311A" w:rsidP="00D554AE">
            <w:pPr>
              <w:ind w:firstLine="37"/>
            </w:pPr>
            <w:r w:rsidRPr="00C631BB">
              <w:t>Семья</w:t>
            </w:r>
          </w:p>
        </w:tc>
        <w:tc>
          <w:tcPr>
            <w:tcW w:w="2501" w:type="pct"/>
            <w:shd w:val="clear" w:color="auto" w:fill="auto"/>
          </w:tcPr>
          <w:p w14:paraId="1AB5D2CB" w14:textId="77777777" w:rsidR="004A311A" w:rsidRPr="00C631BB" w:rsidRDefault="004A311A" w:rsidP="00D554AE">
            <w:pPr>
              <w:ind w:firstLine="37"/>
            </w:pPr>
            <w:r w:rsidRPr="00C631BB">
              <w:t>«Семейные ценности и инфраструктура культуры»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4C648146" w14:textId="77777777" w:rsidR="004A311A" w:rsidRPr="00C631BB" w:rsidRDefault="004A311A" w:rsidP="00D554AE">
            <w:pPr>
              <w:ind w:firstLine="37"/>
              <w:jc w:val="center"/>
            </w:pPr>
            <w:r w:rsidRPr="00C631BB">
              <w:t xml:space="preserve">Управление культуры </w:t>
            </w:r>
            <w:proofErr w:type="spellStart"/>
            <w:r w:rsidRPr="00C631BB">
              <w:t>ЗГО</w:t>
            </w:r>
            <w:proofErr w:type="spellEnd"/>
          </w:p>
        </w:tc>
        <w:tc>
          <w:tcPr>
            <w:tcW w:w="661" w:type="pct"/>
            <w:vAlign w:val="center"/>
          </w:tcPr>
          <w:p w14:paraId="46C037DD" w14:textId="77777777" w:rsidR="004A311A" w:rsidRPr="00C631BB" w:rsidRDefault="004A311A" w:rsidP="00D554AE">
            <w:pPr>
              <w:ind w:firstLine="37"/>
              <w:jc w:val="center"/>
            </w:pPr>
            <w:r w:rsidRPr="00C631BB">
              <w:t>8 421,1</w:t>
            </w:r>
          </w:p>
        </w:tc>
      </w:tr>
      <w:tr w:rsidR="004A311A" w:rsidRPr="00C631BB" w14:paraId="76CD3A65" w14:textId="77777777" w:rsidTr="00E40D32">
        <w:trPr>
          <w:trHeight w:val="70"/>
        </w:trPr>
        <w:tc>
          <w:tcPr>
            <w:tcW w:w="882" w:type="pct"/>
            <w:vMerge/>
            <w:shd w:val="clear" w:color="auto" w:fill="auto"/>
            <w:vAlign w:val="center"/>
          </w:tcPr>
          <w:p w14:paraId="4F0362CD" w14:textId="77777777" w:rsidR="004A311A" w:rsidRPr="00C631BB" w:rsidRDefault="004A311A" w:rsidP="00D554AE">
            <w:pPr>
              <w:ind w:firstLine="37"/>
            </w:pPr>
          </w:p>
        </w:tc>
        <w:tc>
          <w:tcPr>
            <w:tcW w:w="2501" w:type="pct"/>
            <w:shd w:val="clear" w:color="auto" w:fill="auto"/>
          </w:tcPr>
          <w:p w14:paraId="4FF232AE" w14:textId="77777777" w:rsidR="004A311A" w:rsidRPr="00C631BB" w:rsidRDefault="004A311A" w:rsidP="00D554AE">
            <w:pPr>
              <w:ind w:firstLine="37"/>
            </w:pPr>
            <w:r w:rsidRPr="00C631BB">
              <w:t>«Старшее поколение»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198F1FBF" w14:textId="77777777" w:rsidR="004A311A" w:rsidRPr="00C631BB" w:rsidRDefault="004A311A" w:rsidP="00D554AE">
            <w:pPr>
              <w:ind w:firstLine="37"/>
              <w:jc w:val="center"/>
            </w:pPr>
            <w:r w:rsidRPr="00C631BB">
              <w:t xml:space="preserve">Управление социальной защиты населения </w:t>
            </w:r>
            <w:proofErr w:type="spellStart"/>
            <w:r w:rsidRPr="00C631BB">
              <w:t>ЗГО</w:t>
            </w:r>
            <w:proofErr w:type="spellEnd"/>
          </w:p>
        </w:tc>
        <w:tc>
          <w:tcPr>
            <w:tcW w:w="661" w:type="pct"/>
            <w:vAlign w:val="center"/>
          </w:tcPr>
          <w:p w14:paraId="22C19065" w14:textId="77777777" w:rsidR="004A311A" w:rsidRPr="00C631BB" w:rsidRDefault="004A311A" w:rsidP="00D554AE">
            <w:pPr>
              <w:ind w:firstLine="37"/>
              <w:jc w:val="center"/>
            </w:pPr>
            <w:r w:rsidRPr="00C631BB">
              <w:t>16 143,3</w:t>
            </w:r>
          </w:p>
        </w:tc>
      </w:tr>
      <w:tr w:rsidR="004A311A" w:rsidRPr="00C631BB" w14:paraId="39646F8E" w14:textId="77777777" w:rsidTr="00E40D32">
        <w:trPr>
          <w:trHeight w:val="225"/>
        </w:trPr>
        <w:tc>
          <w:tcPr>
            <w:tcW w:w="882" w:type="pct"/>
            <w:vMerge w:val="restart"/>
            <w:shd w:val="clear" w:color="auto" w:fill="auto"/>
            <w:vAlign w:val="center"/>
          </w:tcPr>
          <w:p w14:paraId="3A462E60" w14:textId="77777777" w:rsidR="004A311A" w:rsidRPr="00C631BB" w:rsidRDefault="004A311A" w:rsidP="00D554AE">
            <w:pPr>
              <w:autoSpaceDE w:val="0"/>
              <w:autoSpaceDN w:val="0"/>
              <w:adjustRightInd w:val="0"/>
            </w:pPr>
            <w:r w:rsidRPr="00C631BB">
              <w:t>Инфраструктура для жизни</w:t>
            </w:r>
          </w:p>
        </w:tc>
        <w:tc>
          <w:tcPr>
            <w:tcW w:w="2501" w:type="pct"/>
            <w:shd w:val="clear" w:color="auto" w:fill="auto"/>
          </w:tcPr>
          <w:p w14:paraId="316DF21E" w14:textId="77777777" w:rsidR="004A311A" w:rsidRPr="00C631BB" w:rsidRDefault="004A311A" w:rsidP="00D554AE">
            <w:r w:rsidRPr="00C631BB">
              <w:t>«Модернизация коммунальной инфраструктуры»</w:t>
            </w:r>
          </w:p>
        </w:tc>
        <w:tc>
          <w:tcPr>
            <w:tcW w:w="956" w:type="pct"/>
            <w:vMerge w:val="restart"/>
            <w:shd w:val="clear" w:color="auto" w:fill="auto"/>
            <w:vAlign w:val="center"/>
          </w:tcPr>
          <w:p w14:paraId="61EE292F" w14:textId="77777777" w:rsidR="004A311A" w:rsidRPr="00C631BB" w:rsidRDefault="004A311A" w:rsidP="00D554AE">
            <w:pPr>
              <w:jc w:val="center"/>
            </w:pPr>
            <w:r w:rsidRPr="00C631BB">
              <w:t>Управление жилищно-коммунального хозяйства</w:t>
            </w:r>
          </w:p>
        </w:tc>
        <w:tc>
          <w:tcPr>
            <w:tcW w:w="661" w:type="pct"/>
            <w:vAlign w:val="center"/>
          </w:tcPr>
          <w:p w14:paraId="08AEEA70" w14:textId="77777777" w:rsidR="004A311A" w:rsidRPr="00C631BB" w:rsidRDefault="004A311A" w:rsidP="00D554AE">
            <w:pPr>
              <w:jc w:val="center"/>
            </w:pPr>
            <w:r w:rsidRPr="00C631BB">
              <w:t>122 453,3</w:t>
            </w:r>
          </w:p>
        </w:tc>
      </w:tr>
      <w:tr w:rsidR="004A311A" w:rsidRPr="00C631BB" w14:paraId="10B2A322" w14:textId="77777777" w:rsidTr="00E40D32">
        <w:trPr>
          <w:trHeight w:val="225"/>
        </w:trPr>
        <w:tc>
          <w:tcPr>
            <w:tcW w:w="882" w:type="pct"/>
            <w:vMerge/>
            <w:shd w:val="clear" w:color="auto" w:fill="auto"/>
            <w:vAlign w:val="center"/>
          </w:tcPr>
          <w:p w14:paraId="5D185C26" w14:textId="77777777" w:rsidR="004A311A" w:rsidRPr="00C631BB" w:rsidRDefault="004A311A" w:rsidP="00D554AE">
            <w:pPr>
              <w:autoSpaceDE w:val="0"/>
              <w:autoSpaceDN w:val="0"/>
              <w:adjustRightInd w:val="0"/>
            </w:pPr>
          </w:p>
        </w:tc>
        <w:tc>
          <w:tcPr>
            <w:tcW w:w="2501" w:type="pct"/>
            <w:shd w:val="clear" w:color="auto" w:fill="auto"/>
          </w:tcPr>
          <w:p w14:paraId="0A93F52D" w14:textId="77777777" w:rsidR="004A311A" w:rsidRPr="00C631BB" w:rsidRDefault="004A311A" w:rsidP="00D554AE">
            <w:r w:rsidRPr="00C631BB">
              <w:t>«Формирование комфортной городской среды»</w:t>
            </w:r>
          </w:p>
        </w:tc>
        <w:tc>
          <w:tcPr>
            <w:tcW w:w="956" w:type="pct"/>
            <w:vMerge/>
            <w:shd w:val="clear" w:color="auto" w:fill="auto"/>
            <w:vAlign w:val="center"/>
          </w:tcPr>
          <w:p w14:paraId="69316AE1" w14:textId="77777777" w:rsidR="004A311A" w:rsidRPr="00C631BB" w:rsidRDefault="004A311A" w:rsidP="00D554AE"/>
        </w:tc>
        <w:tc>
          <w:tcPr>
            <w:tcW w:w="661" w:type="pct"/>
            <w:vAlign w:val="center"/>
          </w:tcPr>
          <w:p w14:paraId="27DE2809" w14:textId="77777777" w:rsidR="004A311A" w:rsidRPr="00C631BB" w:rsidRDefault="004A311A" w:rsidP="00D554AE">
            <w:pPr>
              <w:jc w:val="center"/>
            </w:pPr>
            <w:r w:rsidRPr="00C631BB">
              <w:t>81 810,9</w:t>
            </w:r>
          </w:p>
        </w:tc>
      </w:tr>
      <w:tr w:rsidR="004A311A" w:rsidRPr="00C631BB" w14:paraId="5D701BDD" w14:textId="77777777" w:rsidTr="00E40D32">
        <w:trPr>
          <w:trHeight w:val="225"/>
        </w:trPr>
        <w:tc>
          <w:tcPr>
            <w:tcW w:w="882" w:type="pct"/>
            <w:shd w:val="clear" w:color="auto" w:fill="auto"/>
            <w:vAlign w:val="center"/>
          </w:tcPr>
          <w:p w14:paraId="30291C3B" w14:textId="77777777" w:rsidR="004A311A" w:rsidRPr="00C631BB" w:rsidRDefault="004A311A" w:rsidP="00D554AE">
            <w:pPr>
              <w:autoSpaceDE w:val="0"/>
              <w:autoSpaceDN w:val="0"/>
              <w:adjustRightInd w:val="0"/>
            </w:pPr>
            <w:r w:rsidRPr="00C631BB">
              <w:t>Экологическое благополучие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342CC4D9" w14:textId="77777777" w:rsidR="004A311A" w:rsidRPr="00C631BB" w:rsidRDefault="004A311A" w:rsidP="00D554AE">
            <w:r w:rsidRPr="00C631BB">
              <w:t>«Экономика замкнутого цикла (Челябинская область)»</w:t>
            </w:r>
          </w:p>
        </w:tc>
        <w:tc>
          <w:tcPr>
            <w:tcW w:w="956" w:type="pct"/>
            <w:vMerge/>
            <w:shd w:val="clear" w:color="auto" w:fill="auto"/>
            <w:vAlign w:val="center"/>
          </w:tcPr>
          <w:p w14:paraId="34888243" w14:textId="77777777" w:rsidR="004A311A" w:rsidRPr="00C631BB" w:rsidRDefault="004A311A" w:rsidP="00D554AE"/>
        </w:tc>
        <w:tc>
          <w:tcPr>
            <w:tcW w:w="661" w:type="pct"/>
            <w:vAlign w:val="center"/>
          </w:tcPr>
          <w:p w14:paraId="73FA1E7A" w14:textId="77777777" w:rsidR="004A311A" w:rsidRPr="00C631BB" w:rsidRDefault="004A311A" w:rsidP="00D554AE">
            <w:pPr>
              <w:jc w:val="center"/>
            </w:pPr>
            <w:r w:rsidRPr="00C631BB">
              <w:t>11 727,2</w:t>
            </w:r>
          </w:p>
        </w:tc>
      </w:tr>
      <w:tr w:rsidR="004A311A" w:rsidRPr="00C631BB" w14:paraId="157BA583" w14:textId="77777777" w:rsidTr="00D554AE">
        <w:trPr>
          <w:trHeight w:val="89"/>
        </w:trPr>
        <w:tc>
          <w:tcPr>
            <w:tcW w:w="4339" w:type="pct"/>
            <w:gridSpan w:val="3"/>
            <w:shd w:val="clear" w:color="auto" w:fill="auto"/>
            <w:vAlign w:val="center"/>
          </w:tcPr>
          <w:p w14:paraId="30E9DCB4" w14:textId="77777777" w:rsidR="004A311A" w:rsidRPr="00C631BB" w:rsidRDefault="004A311A" w:rsidP="00D554AE">
            <w:pPr>
              <w:jc w:val="right"/>
              <w:rPr>
                <w:b/>
                <w:bCs/>
              </w:rPr>
            </w:pPr>
            <w:r w:rsidRPr="00C631BB">
              <w:rPr>
                <w:b/>
                <w:bCs/>
              </w:rPr>
              <w:t>Итого</w:t>
            </w:r>
          </w:p>
        </w:tc>
        <w:tc>
          <w:tcPr>
            <w:tcW w:w="661" w:type="pct"/>
            <w:vAlign w:val="center"/>
          </w:tcPr>
          <w:p w14:paraId="16C4C30E" w14:textId="77777777" w:rsidR="004A311A" w:rsidRPr="00C631BB" w:rsidRDefault="004A311A" w:rsidP="00D554AE">
            <w:pPr>
              <w:jc w:val="center"/>
              <w:rPr>
                <w:b/>
                <w:bCs/>
              </w:rPr>
            </w:pPr>
            <w:r w:rsidRPr="00C631BB">
              <w:rPr>
                <w:b/>
                <w:bCs/>
              </w:rPr>
              <w:t>324 322,1</w:t>
            </w:r>
          </w:p>
        </w:tc>
      </w:tr>
    </w:tbl>
    <w:p w14:paraId="78AFD8B0" w14:textId="7D98775F" w:rsidR="00D208AA" w:rsidRPr="008D56BE" w:rsidRDefault="00D208AA" w:rsidP="00C06BE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lastRenderedPageBreak/>
        <w:t xml:space="preserve">2. </w:t>
      </w:r>
      <w:bookmarkStart w:id="2" w:name="_Hlk78553146"/>
      <w:r w:rsidR="008D56BE" w:rsidRPr="008D56BE">
        <w:rPr>
          <w:rFonts w:eastAsia="Calibri"/>
          <w:sz w:val="28"/>
          <w:szCs w:val="28"/>
          <w:lang w:eastAsia="en-US"/>
        </w:rPr>
        <w:t>В структуре главных распорядителей бюджетных средств наибольшая доля бюджетных расходов запланирована Управлению жилищно-коммунального хозяйства – 66,6%</w:t>
      </w:r>
      <w:bookmarkEnd w:id="2"/>
      <w:r w:rsidR="008D56BE" w:rsidRPr="008D56BE">
        <w:rPr>
          <w:rFonts w:eastAsia="Calibri"/>
          <w:sz w:val="28"/>
          <w:szCs w:val="28"/>
          <w:lang w:eastAsia="en-US"/>
        </w:rPr>
        <w:t xml:space="preserve"> и Управлению образования и молодежной политики </w:t>
      </w:r>
      <w:proofErr w:type="spellStart"/>
      <w:r w:rsidR="008D56BE" w:rsidRPr="008D56BE">
        <w:rPr>
          <w:rFonts w:eastAsia="Calibri"/>
          <w:sz w:val="28"/>
          <w:szCs w:val="28"/>
          <w:lang w:eastAsia="en-US"/>
        </w:rPr>
        <w:t>ЗГО</w:t>
      </w:r>
      <w:proofErr w:type="spellEnd"/>
      <w:r w:rsidR="008D56BE" w:rsidRPr="008D56BE">
        <w:rPr>
          <w:rFonts w:eastAsia="Calibri"/>
          <w:sz w:val="28"/>
          <w:szCs w:val="28"/>
          <w:lang w:eastAsia="en-US"/>
        </w:rPr>
        <w:t xml:space="preserve"> – 25,8%.</w:t>
      </w:r>
    </w:p>
    <w:p w14:paraId="0AE5F6BC" w14:textId="77777777" w:rsidR="008D56BE" w:rsidRPr="000C5BD4" w:rsidRDefault="008D56BE" w:rsidP="00C06BEE">
      <w:pPr>
        <w:ind w:firstLine="567"/>
        <w:jc w:val="both"/>
        <w:rPr>
          <w:sz w:val="28"/>
          <w:szCs w:val="28"/>
        </w:rPr>
      </w:pPr>
      <w:bookmarkStart w:id="3" w:name="_Hlk198311974"/>
      <w:r w:rsidRPr="000C5BD4">
        <w:rPr>
          <w:noProof/>
          <w:sz w:val="28"/>
          <w:szCs w:val="28"/>
        </w:rPr>
        <w:t xml:space="preserve">Наибольшая </w:t>
      </w:r>
      <w:r w:rsidRPr="000C5BD4">
        <w:rPr>
          <w:sz w:val="28"/>
          <w:szCs w:val="28"/>
        </w:rPr>
        <w:t>доля запланированных бюджетных расходов приходится на реализацию региональных проектов:</w:t>
      </w:r>
    </w:p>
    <w:p w14:paraId="33375227" w14:textId="77777777" w:rsidR="008D56BE" w:rsidRPr="000C5BD4" w:rsidRDefault="008D56BE" w:rsidP="00C06BEE">
      <w:pPr>
        <w:ind w:firstLine="567"/>
        <w:jc w:val="both"/>
        <w:rPr>
          <w:sz w:val="28"/>
          <w:szCs w:val="28"/>
        </w:rPr>
      </w:pPr>
      <w:r w:rsidRPr="000C5BD4">
        <w:rPr>
          <w:sz w:val="28"/>
          <w:szCs w:val="28"/>
        </w:rPr>
        <w:t>- «Модернизация коммунальной инфраструктуры» - 37,8%;</w:t>
      </w:r>
    </w:p>
    <w:p w14:paraId="6C57836C" w14:textId="77777777" w:rsidR="008D56BE" w:rsidRPr="000C5BD4" w:rsidRDefault="008D56BE" w:rsidP="00C06BE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BD4">
        <w:rPr>
          <w:rFonts w:ascii="Times New Roman" w:hAnsi="Times New Roman" w:cs="Times New Roman"/>
          <w:sz w:val="28"/>
          <w:szCs w:val="28"/>
        </w:rPr>
        <w:t>- «Формирование комфортной городской среды» - 25,2%;</w:t>
      </w:r>
    </w:p>
    <w:p w14:paraId="7459BD98" w14:textId="77777777" w:rsidR="008D56BE" w:rsidRPr="005522CC" w:rsidRDefault="008D56BE" w:rsidP="00C06BE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BD4">
        <w:rPr>
          <w:rFonts w:ascii="Times New Roman" w:hAnsi="Times New Roman" w:cs="Times New Roman"/>
          <w:sz w:val="28"/>
          <w:szCs w:val="28"/>
        </w:rPr>
        <w:t xml:space="preserve">- </w:t>
      </w:r>
      <w:r w:rsidRPr="000C5BD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C5BD4">
        <w:rPr>
          <w:rFonts w:ascii="Times New Roman" w:hAnsi="Times New Roman" w:cs="Times New Roman"/>
          <w:sz w:val="28"/>
          <w:szCs w:val="28"/>
        </w:rPr>
        <w:t>Педагоги и наставники»</w:t>
      </w:r>
      <w:r>
        <w:rPr>
          <w:rFonts w:ascii="Times New Roman" w:hAnsi="Times New Roman" w:cs="Times New Roman"/>
          <w:sz w:val="28"/>
          <w:szCs w:val="28"/>
        </w:rPr>
        <w:t xml:space="preserve"> - 24,4%.</w:t>
      </w:r>
    </w:p>
    <w:p w14:paraId="31CB57B2" w14:textId="77777777" w:rsidR="008D56BE" w:rsidRDefault="008D56BE" w:rsidP="00C06BEE">
      <w:pPr>
        <w:ind w:firstLine="567"/>
        <w:jc w:val="both"/>
        <w:rPr>
          <w:color w:val="000000"/>
          <w:sz w:val="28"/>
          <w:szCs w:val="28"/>
        </w:rPr>
      </w:pPr>
      <w:r w:rsidRPr="000C5BD4">
        <w:rPr>
          <w:color w:val="000000"/>
          <w:sz w:val="28"/>
          <w:szCs w:val="28"/>
        </w:rPr>
        <w:t xml:space="preserve">По итогам 1 квартала </w:t>
      </w:r>
      <w:proofErr w:type="spellStart"/>
      <w:r w:rsidRPr="000C5BD4">
        <w:rPr>
          <w:color w:val="000000"/>
          <w:sz w:val="28"/>
          <w:szCs w:val="28"/>
        </w:rPr>
        <w:t>2025г</w:t>
      </w:r>
      <w:proofErr w:type="spellEnd"/>
      <w:r w:rsidRPr="000C5BD4">
        <w:rPr>
          <w:color w:val="000000"/>
          <w:sz w:val="28"/>
          <w:szCs w:val="28"/>
        </w:rPr>
        <w:t>. бюджетные расходы запланированы за счет следующих источников финансирования</w:t>
      </w:r>
      <w:r>
        <w:rPr>
          <w:color w:val="000000"/>
          <w:sz w:val="28"/>
          <w:szCs w:val="28"/>
        </w:rPr>
        <w:t>:</w:t>
      </w:r>
    </w:p>
    <w:p w14:paraId="60F01BA8" w14:textId="77777777" w:rsidR="008D56BE" w:rsidRDefault="008D56BE" w:rsidP="00C06BE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средства федерального бюджета – 224 827,2 тыс. рублей или 69,3%;</w:t>
      </w:r>
    </w:p>
    <w:p w14:paraId="7661ED9F" w14:textId="77777777" w:rsidR="008D56BE" w:rsidRDefault="008D56BE" w:rsidP="00C06BE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средства областного бюджета – 59 989,3 тыс. рублей или 18,5%;</w:t>
      </w:r>
    </w:p>
    <w:p w14:paraId="25E5D4B0" w14:textId="77777777" w:rsidR="008D56BE" w:rsidRDefault="008D56BE" w:rsidP="00C06BE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средства местного бюджета – 39 505,6 тыс. рублей или 12,2%.</w:t>
      </w:r>
    </w:p>
    <w:p w14:paraId="4E590A8C" w14:textId="779D4C4B" w:rsidR="00042A59" w:rsidRPr="00486B54" w:rsidRDefault="00042A59" w:rsidP="00C06BE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042A59">
        <w:rPr>
          <w:color w:val="000000"/>
          <w:sz w:val="28"/>
          <w:szCs w:val="28"/>
        </w:rPr>
        <w:t>В целях реализации региональных проектов между Администрацией З</w:t>
      </w:r>
      <w:r>
        <w:rPr>
          <w:color w:val="000000"/>
          <w:sz w:val="28"/>
          <w:szCs w:val="28"/>
        </w:rPr>
        <w:t>латоустовского городского округа</w:t>
      </w:r>
      <w:r w:rsidRPr="00042A59">
        <w:rPr>
          <w:color w:val="000000"/>
          <w:sz w:val="28"/>
          <w:szCs w:val="28"/>
        </w:rPr>
        <w:t xml:space="preserve"> и соответствующими Министерствами Челябинской области заключены соглашения о предоставлении субсидий, иных межбюджетных трансфертов местному бюджету из бюджета Челябинской области</w:t>
      </w:r>
      <w:r w:rsidR="001C432B">
        <w:rPr>
          <w:color w:val="000000"/>
          <w:sz w:val="28"/>
          <w:szCs w:val="28"/>
        </w:rPr>
        <w:t xml:space="preserve"> на реализацию региональных проектов</w:t>
      </w:r>
      <w:r w:rsidRPr="00042A59">
        <w:rPr>
          <w:color w:val="000000"/>
          <w:sz w:val="28"/>
          <w:szCs w:val="28"/>
        </w:rPr>
        <w:t>.</w:t>
      </w:r>
    </w:p>
    <w:bookmarkEnd w:id="3"/>
    <w:p w14:paraId="19B0BBDB" w14:textId="569F0CA6" w:rsidR="00D208AA" w:rsidRDefault="00293CE4" w:rsidP="00C06BEE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08AA">
        <w:rPr>
          <w:sz w:val="28"/>
          <w:szCs w:val="28"/>
        </w:rPr>
        <w:t xml:space="preserve">. </w:t>
      </w:r>
      <w:r w:rsidR="00D208AA" w:rsidRPr="006F4FC2">
        <w:rPr>
          <w:sz w:val="28"/>
          <w:szCs w:val="28"/>
        </w:rPr>
        <w:t>В рамках реализации региональных проектов за 1 квартал 202</w:t>
      </w:r>
      <w:r w:rsidR="003B16F4">
        <w:rPr>
          <w:sz w:val="28"/>
          <w:szCs w:val="28"/>
        </w:rPr>
        <w:t>5</w:t>
      </w:r>
      <w:r w:rsidR="00D208AA" w:rsidRPr="006F4FC2">
        <w:rPr>
          <w:sz w:val="28"/>
          <w:szCs w:val="28"/>
        </w:rPr>
        <w:t xml:space="preserve"> г.  кассовое исполнение расходов составило </w:t>
      </w:r>
      <w:r w:rsidR="003B16F4">
        <w:rPr>
          <w:sz w:val="28"/>
          <w:szCs w:val="28"/>
        </w:rPr>
        <w:t>26 845,2</w:t>
      </w:r>
      <w:r w:rsidR="00D208AA" w:rsidRPr="006F4FC2">
        <w:rPr>
          <w:sz w:val="28"/>
          <w:szCs w:val="28"/>
        </w:rPr>
        <w:t xml:space="preserve"> тыс. рублей (или </w:t>
      </w:r>
      <w:r w:rsidR="003B16F4">
        <w:rPr>
          <w:sz w:val="28"/>
          <w:szCs w:val="28"/>
        </w:rPr>
        <w:t>8,3</w:t>
      </w:r>
      <w:r w:rsidR="00D208AA" w:rsidRPr="006F4FC2">
        <w:rPr>
          <w:sz w:val="28"/>
          <w:szCs w:val="28"/>
        </w:rPr>
        <w:t xml:space="preserve">% </w:t>
      </w:r>
      <w:r w:rsidR="00D208AA">
        <w:rPr>
          <w:sz w:val="28"/>
          <w:szCs w:val="28"/>
        </w:rPr>
        <w:t xml:space="preserve">                      </w:t>
      </w:r>
      <w:r w:rsidR="00D208AA" w:rsidRPr="006F4FC2">
        <w:rPr>
          <w:sz w:val="28"/>
          <w:szCs w:val="28"/>
        </w:rPr>
        <w:t>от годового планового объема)</w:t>
      </w:r>
      <w:bookmarkStart w:id="4" w:name="_Hlk66191298"/>
      <w:r w:rsidR="00831627">
        <w:rPr>
          <w:sz w:val="28"/>
          <w:szCs w:val="28"/>
        </w:rPr>
        <w:t>:</w:t>
      </w:r>
    </w:p>
    <w:p w14:paraId="76A33E24" w14:textId="7D78B74F" w:rsidR="00831627" w:rsidRDefault="00831627" w:rsidP="00C06BEE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региональный проект «Педагоги и наставники» - </w:t>
      </w:r>
      <w:r w:rsidR="0023422D">
        <w:rPr>
          <w:sz w:val="28"/>
          <w:szCs w:val="28"/>
        </w:rPr>
        <w:t>19 772,</w:t>
      </w:r>
      <w:r w:rsidR="00C06BEE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 (</w:t>
      </w:r>
      <w:r w:rsidR="0023422D">
        <w:rPr>
          <w:sz w:val="28"/>
          <w:szCs w:val="28"/>
        </w:rPr>
        <w:t>или 25</w:t>
      </w:r>
      <w:r>
        <w:rPr>
          <w:sz w:val="28"/>
          <w:szCs w:val="28"/>
        </w:rPr>
        <w:t xml:space="preserve">% </w:t>
      </w:r>
      <w:r w:rsidR="0023422D">
        <w:rPr>
          <w:sz w:val="28"/>
          <w:szCs w:val="28"/>
        </w:rPr>
        <w:t xml:space="preserve">от плана на </w:t>
      </w:r>
      <w:r>
        <w:rPr>
          <w:sz w:val="28"/>
          <w:szCs w:val="28"/>
        </w:rPr>
        <w:t>год);</w:t>
      </w:r>
    </w:p>
    <w:p w14:paraId="1C816B64" w14:textId="2DF97514" w:rsidR="00831627" w:rsidRDefault="00831627" w:rsidP="00C06BEE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422D">
        <w:rPr>
          <w:sz w:val="28"/>
          <w:szCs w:val="28"/>
        </w:rPr>
        <w:t xml:space="preserve">региональный проект </w:t>
      </w:r>
      <w:r w:rsidR="0023422D" w:rsidRPr="0023422D">
        <w:rPr>
          <w:sz w:val="28"/>
          <w:szCs w:val="28"/>
        </w:rPr>
        <w:t>«Семейные ценности и инфраструктура культуры»</w:t>
      </w:r>
      <w:r w:rsidR="0023422D">
        <w:rPr>
          <w:sz w:val="28"/>
          <w:szCs w:val="28"/>
        </w:rPr>
        <w:t xml:space="preserve"> - 3 373,2 тыс. рублей </w:t>
      </w:r>
      <w:r w:rsidR="0023422D" w:rsidRPr="0023422D">
        <w:rPr>
          <w:sz w:val="28"/>
          <w:szCs w:val="28"/>
        </w:rPr>
        <w:t xml:space="preserve">(или </w:t>
      </w:r>
      <w:r w:rsidR="0023422D">
        <w:rPr>
          <w:sz w:val="28"/>
          <w:szCs w:val="28"/>
        </w:rPr>
        <w:t>40,1</w:t>
      </w:r>
      <w:r w:rsidR="0023422D" w:rsidRPr="0023422D">
        <w:rPr>
          <w:sz w:val="28"/>
          <w:szCs w:val="28"/>
        </w:rPr>
        <w:t>% от плана на год);</w:t>
      </w:r>
    </w:p>
    <w:p w14:paraId="599FAB78" w14:textId="712D692B" w:rsidR="0023422D" w:rsidRPr="006F4FC2" w:rsidRDefault="0023422D" w:rsidP="00C06BEE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региональный проект </w:t>
      </w:r>
      <w:r w:rsidRPr="0023422D">
        <w:rPr>
          <w:sz w:val="28"/>
          <w:szCs w:val="28"/>
        </w:rPr>
        <w:t>«Старшее поколение»</w:t>
      </w:r>
      <w:r>
        <w:rPr>
          <w:sz w:val="28"/>
          <w:szCs w:val="28"/>
        </w:rPr>
        <w:t xml:space="preserve"> - 3 700,0 тыс. рублей </w:t>
      </w:r>
      <w:r w:rsidRPr="0023422D">
        <w:rPr>
          <w:sz w:val="28"/>
          <w:szCs w:val="28"/>
        </w:rPr>
        <w:t>(или</w:t>
      </w:r>
      <w:r>
        <w:rPr>
          <w:sz w:val="28"/>
          <w:szCs w:val="28"/>
        </w:rPr>
        <w:t> 22,9</w:t>
      </w:r>
      <w:r w:rsidRPr="0023422D">
        <w:rPr>
          <w:sz w:val="28"/>
          <w:szCs w:val="28"/>
        </w:rPr>
        <w:t>% от плана на год)</w:t>
      </w:r>
      <w:r>
        <w:rPr>
          <w:sz w:val="28"/>
          <w:szCs w:val="28"/>
        </w:rPr>
        <w:t>.</w:t>
      </w:r>
    </w:p>
    <w:p w14:paraId="4862DB97" w14:textId="2A059831" w:rsidR="003B16F4" w:rsidRPr="003B16F4" w:rsidRDefault="00293CE4" w:rsidP="00C06BEE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5</w:t>
      </w:r>
      <w:r w:rsidR="00D208AA">
        <w:rPr>
          <w:bCs/>
          <w:sz w:val="28"/>
          <w:szCs w:val="28"/>
        </w:rPr>
        <w:t>.</w:t>
      </w:r>
      <w:r w:rsidR="00D208AA" w:rsidRPr="00DB5DDA">
        <w:rPr>
          <w:bCs/>
          <w:sz w:val="28"/>
          <w:szCs w:val="28"/>
        </w:rPr>
        <w:t xml:space="preserve"> </w:t>
      </w:r>
      <w:bookmarkEnd w:id="4"/>
      <w:r w:rsidR="003B16F4" w:rsidRPr="003B16F4">
        <w:rPr>
          <w:rFonts w:eastAsia="Calibri"/>
          <w:bCs/>
          <w:sz w:val="28"/>
          <w:szCs w:val="28"/>
          <w:lang w:eastAsia="en-US"/>
        </w:rPr>
        <w:t>По результатам осуществления конкурентных способов закупки экономия средств бюджета, предусмотренных на реализацию региональных проектов, составила в общей сумме 11 377,4 тыс. рублей, что позволило часть средств направить на приобретение основных сре</w:t>
      </w:r>
      <w:proofErr w:type="gramStart"/>
      <w:r w:rsidR="003B16F4" w:rsidRPr="003B16F4">
        <w:rPr>
          <w:rFonts w:eastAsia="Calibri"/>
          <w:bCs/>
          <w:sz w:val="28"/>
          <w:szCs w:val="28"/>
          <w:lang w:eastAsia="en-US"/>
        </w:rPr>
        <w:t>дств дл</w:t>
      </w:r>
      <w:proofErr w:type="gramEnd"/>
      <w:r w:rsidR="003B16F4" w:rsidRPr="003B16F4">
        <w:rPr>
          <w:rFonts w:eastAsia="Calibri"/>
          <w:bCs/>
          <w:sz w:val="28"/>
          <w:szCs w:val="28"/>
          <w:lang w:eastAsia="en-US"/>
        </w:rPr>
        <w:t xml:space="preserve">я переоснащения библиотеки по модельному стандарту, на </w:t>
      </w:r>
      <w:r w:rsidR="003B16F4" w:rsidRPr="003B16F4">
        <w:rPr>
          <w:rFonts w:eastAsia="Calibri"/>
          <w:bCs/>
          <w:iCs/>
          <w:sz w:val="28"/>
          <w:szCs w:val="28"/>
          <w:lang w:eastAsia="en-US"/>
        </w:rPr>
        <w:t>поставку</w:t>
      </w:r>
      <w:r w:rsidR="003B16F4" w:rsidRPr="003B16F4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3B16F4" w:rsidRPr="003B16F4">
        <w:rPr>
          <w:rFonts w:eastAsia="Calibri"/>
          <w:bCs/>
          <w:sz w:val="28"/>
          <w:szCs w:val="28"/>
          <w:lang w:eastAsia="en-US"/>
        </w:rPr>
        <w:t>пластиковых передвижных контейнеров для сбора твердых коммунальных отходов.</w:t>
      </w:r>
    </w:p>
    <w:p w14:paraId="299C1C8C" w14:textId="3ECB84A5" w:rsidR="003B16F4" w:rsidRDefault="00293CE4" w:rsidP="00C06BEE">
      <w:pPr>
        <w:suppressAutoHyphens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 </w:t>
      </w:r>
      <w:r w:rsidR="003B16F4" w:rsidRPr="003B16F4">
        <w:rPr>
          <w:rFonts w:eastAsia="Calibri"/>
          <w:bCs/>
          <w:sz w:val="28"/>
          <w:szCs w:val="28"/>
          <w:lang w:eastAsia="en-US"/>
        </w:rPr>
        <w:t xml:space="preserve">Уровень контрактации за 1 квартал </w:t>
      </w:r>
      <w:proofErr w:type="spellStart"/>
      <w:r w:rsidR="003B16F4" w:rsidRPr="003B16F4">
        <w:rPr>
          <w:rFonts w:eastAsia="Calibri"/>
          <w:bCs/>
          <w:sz w:val="28"/>
          <w:szCs w:val="28"/>
          <w:lang w:eastAsia="en-US"/>
        </w:rPr>
        <w:t>2025г</w:t>
      </w:r>
      <w:proofErr w:type="spellEnd"/>
      <w:r w:rsidR="003B16F4" w:rsidRPr="003B16F4">
        <w:rPr>
          <w:rFonts w:eastAsia="Calibri"/>
          <w:bCs/>
          <w:sz w:val="28"/>
          <w:szCs w:val="28"/>
          <w:lang w:eastAsia="en-US"/>
        </w:rPr>
        <w:t>. составил 82,7% от годового плана.</w:t>
      </w:r>
    </w:p>
    <w:p w14:paraId="4B24F057" w14:textId="77777777" w:rsidR="003B16F4" w:rsidRDefault="003B16F4" w:rsidP="00C06BEE">
      <w:pPr>
        <w:suppressAutoHyphens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bookmarkStart w:id="5" w:name="_GoBack"/>
      <w:bookmarkEnd w:id="5"/>
    </w:p>
    <w:p w14:paraId="4FAF8BBF" w14:textId="77777777" w:rsidR="005C5FB4" w:rsidRDefault="005C5FB4" w:rsidP="005C5FB4">
      <w:pPr>
        <w:pStyle w:val="a3"/>
        <w:tabs>
          <w:tab w:val="left" w:pos="1496"/>
        </w:tabs>
        <w:rPr>
          <w:sz w:val="28"/>
          <w:szCs w:val="28"/>
        </w:rPr>
      </w:pPr>
    </w:p>
    <w:p w14:paraId="1C90F6CE" w14:textId="77777777" w:rsidR="005C5FB4" w:rsidRPr="00554F0B" w:rsidRDefault="005C5FB4" w:rsidP="005C5FB4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54F0B">
        <w:rPr>
          <w:sz w:val="28"/>
          <w:szCs w:val="28"/>
        </w:rPr>
        <w:tab/>
      </w:r>
      <w:r w:rsidRPr="00554F0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Кальчук</w:t>
      </w:r>
      <w:proofErr w:type="spellEnd"/>
      <w:r>
        <w:rPr>
          <w:sz w:val="28"/>
          <w:szCs w:val="28"/>
        </w:rPr>
        <w:t xml:space="preserve"> </w:t>
      </w:r>
      <w:r w:rsidRPr="00554F0B">
        <w:rPr>
          <w:sz w:val="28"/>
          <w:szCs w:val="28"/>
        </w:rPr>
        <w:t xml:space="preserve"> </w:t>
      </w:r>
    </w:p>
    <w:p w14:paraId="381370E2" w14:textId="77777777" w:rsidR="005C5FB4" w:rsidRDefault="005C5FB4" w:rsidP="005C5FB4">
      <w:pPr>
        <w:rPr>
          <w:b/>
          <w:sz w:val="24"/>
          <w:szCs w:val="24"/>
        </w:rPr>
      </w:pPr>
    </w:p>
    <w:p w14:paraId="6E57F7DF" w14:textId="77777777" w:rsidR="005C5FB4" w:rsidRDefault="005C5FB4" w:rsidP="005C5FB4">
      <w:pPr>
        <w:rPr>
          <w:b/>
          <w:sz w:val="24"/>
          <w:szCs w:val="24"/>
        </w:rPr>
      </w:pPr>
    </w:p>
    <w:sectPr w:rsidR="005C5FB4" w:rsidSect="00086570">
      <w:pgSz w:w="11906" w:h="16838"/>
      <w:pgMar w:top="851" w:right="851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E9BB5" w14:textId="77777777" w:rsidR="00C74D90" w:rsidRDefault="00C74D90" w:rsidP="00086570">
      <w:r>
        <w:separator/>
      </w:r>
    </w:p>
  </w:endnote>
  <w:endnote w:type="continuationSeparator" w:id="0">
    <w:p w14:paraId="32274CBC" w14:textId="77777777" w:rsidR="00C74D90" w:rsidRDefault="00C74D90" w:rsidP="0008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E5FF6" w14:textId="77777777" w:rsidR="00C74D90" w:rsidRDefault="00C74D90" w:rsidP="00086570">
      <w:r>
        <w:separator/>
      </w:r>
    </w:p>
  </w:footnote>
  <w:footnote w:type="continuationSeparator" w:id="0">
    <w:p w14:paraId="52A1B1B1" w14:textId="77777777" w:rsidR="00C74D90" w:rsidRDefault="00C74D90" w:rsidP="00086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25F82"/>
    <w:multiLevelType w:val="hybridMultilevel"/>
    <w:tmpl w:val="7FE26F34"/>
    <w:lvl w:ilvl="0" w:tplc="FE5475E4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F54A81"/>
    <w:multiLevelType w:val="hybridMultilevel"/>
    <w:tmpl w:val="D7A67B0E"/>
    <w:lvl w:ilvl="0" w:tplc="15301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B4"/>
    <w:rsid w:val="00042A59"/>
    <w:rsid w:val="0007784E"/>
    <w:rsid w:val="00086570"/>
    <w:rsid w:val="001C432B"/>
    <w:rsid w:val="001C7280"/>
    <w:rsid w:val="0023422D"/>
    <w:rsid w:val="00293CE4"/>
    <w:rsid w:val="002C210F"/>
    <w:rsid w:val="002E7808"/>
    <w:rsid w:val="002F77FA"/>
    <w:rsid w:val="003B16F4"/>
    <w:rsid w:val="004A311A"/>
    <w:rsid w:val="0058705A"/>
    <w:rsid w:val="005C5FB4"/>
    <w:rsid w:val="005D4E42"/>
    <w:rsid w:val="006555F6"/>
    <w:rsid w:val="007A6366"/>
    <w:rsid w:val="00831627"/>
    <w:rsid w:val="008D56BE"/>
    <w:rsid w:val="008E0822"/>
    <w:rsid w:val="00A750FE"/>
    <w:rsid w:val="00B15502"/>
    <w:rsid w:val="00B80C9E"/>
    <w:rsid w:val="00C06BEE"/>
    <w:rsid w:val="00C74D90"/>
    <w:rsid w:val="00D159FE"/>
    <w:rsid w:val="00D208AA"/>
    <w:rsid w:val="00DB56D2"/>
    <w:rsid w:val="00E40D32"/>
    <w:rsid w:val="00E844A8"/>
    <w:rsid w:val="00EA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9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5F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C5F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5C5FB4"/>
    <w:rPr>
      <w:i/>
      <w:iCs/>
    </w:rPr>
  </w:style>
  <w:style w:type="paragraph" w:styleId="a6">
    <w:name w:val="List Paragraph"/>
    <w:basedOn w:val="a"/>
    <w:uiPriority w:val="34"/>
    <w:qFormat/>
    <w:rsid w:val="005C5FB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C5F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FB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0865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6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8D56B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5F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C5F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5C5FB4"/>
    <w:rPr>
      <w:i/>
      <w:iCs/>
    </w:rPr>
  </w:style>
  <w:style w:type="paragraph" w:styleId="a6">
    <w:name w:val="List Paragraph"/>
    <w:basedOn w:val="a"/>
    <w:uiPriority w:val="34"/>
    <w:qFormat/>
    <w:rsid w:val="005C5FB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C5F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FB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0865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6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8D56B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ramnews.ru/wp-content/uploads/2021/02/nac_proekty_logo_sin_prav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19</cp:revision>
  <cp:lastPrinted>2025-05-22T04:35:00Z</cp:lastPrinted>
  <dcterms:created xsi:type="dcterms:W3CDTF">2023-05-11T06:21:00Z</dcterms:created>
  <dcterms:modified xsi:type="dcterms:W3CDTF">2025-05-22T04:56:00Z</dcterms:modified>
</cp:coreProperties>
</file>